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September 11,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Other People and Purpose</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Over the weekend, re-read p.98-132 of </w:t>
      </w:r>
      <w:r w:rsidRPr="00000000" w:rsidR="00000000" w:rsidDel="00000000">
        <w:rPr>
          <w:rFonts w:cs="Times New Roman" w:hAnsi="Times New Roman" w:eastAsia="Times New Roman" w:ascii="Times New Roman"/>
          <w:i w:val="1"/>
          <w:rtl w:val="0"/>
        </w:rPr>
        <w:t xml:space="preserve">ITW</w:t>
      </w:r>
      <w:r w:rsidRPr="00000000" w:rsidR="00000000" w:rsidDel="00000000">
        <w:rPr>
          <w:rFonts w:cs="Times New Roman" w:hAnsi="Times New Roman" w:eastAsia="Times New Roman" w:ascii="Times New Roman"/>
          <w:rtl w:val="0"/>
        </w:rPr>
        <w:t xml:space="preserve">. Then, do </w:t>
      </w:r>
      <w:r w:rsidRPr="00000000" w:rsidR="00000000" w:rsidDel="00000000">
        <w:rPr>
          <w:rFonts w:cs="Times New Roman" w:hAnsi="Times New Roman" w:eastAsia="Times New Roman" w:ascii="Times New Roman"/>
          <w:b w:val="1"/>
          <w:rtl w:val="0"/>
        </w:rPr>
        <w:t xml:space="preserve">both</w:t>
      </w:r>
      <w:r w:rsidRPr="00000000" w:rsidR="00000000" w:rsidDel="00000000">
        <w:rPr>
          <w:rFonts w:cs="Times New Roman" w:hAnsi="Times New Roman" w:eastAsia="Times New Roman" w:ascii="Times New Roman"/>
          <w:rtl w:val="0"/>
        </w:rPr>
        <w:t xml:space="preserve"> of two things. First, make a list of five characters mentioned in this part of the reading and a few traits or qualities of each of them. Second, write a personal</w:t>
      </w:r>
      <w:r w:rsidRPr="00000000" w:rsidR="00000000" w:rsidDel="00000000">
        <w:rPr>
          <w:rFonts w:cs="Times New Roman" w:hAnsi="Times New Roman" w:eastAsia="Times New Roman" w:ascii="Times New Roman"/>
          <w:b w:val="1"/>
          <w:rtl w:val="0"/>
        </w:rPr>
        <w:t xml:space="preserve"> and </w:t>
      </w:r>
      <w:r w:rsidRPr="00000000" w:rsidR="00000000" w:rsidDel="00000000">
        <w:rPr>
          <w:rFonts w:cs="Times New Roman" w:hAnsi="Times New Roman" w:eastAsia="Times New Roman" w:ascii="Times New Roman"/>
          <w:rtl w:val="0"/>
        </w:rPr>
        <w:t xml:space="preserve">analytical response to one of the epigraphs from Chapter 11, or 12. Your response should connect the ideas in the epigraph to the ideas from class, specifically McCandless and society’s principles and higher principles. Your response should also include your own thoughts about the epigraph and its ideas. </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ITW, 98-132.docx</dc:title>
</cp:coreProperties>
</file>